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0" w:left="6945" w:right="0"/>
        <w:jc w:val="left"/>
        <w:rPr>
          <w:rFonts w:ascii="Times New Roman" w:hAnsi="Times New Roman"/>
          <w:b w:val="false"/>
          <w:sz w:val="24"/>
        </w:rPr>
      </w:pPr>
      <w:bookmarkStart w:id="0" w:name="_GoBack"/>
      <w:bookmarkEnd w:id="0"/>
      <w:r>
        <w:rPr>
          <w:rFonts w:ascii="Times New Roman" w:hAnsi="Times New Roman"/>
        </w:rPr>
        <w:t xml:space="preserve">  </w:t>
      </w:r>
      <w:r>
        <w:rPr>
          <w:rFonts w:ascii="Times New Roman" w:hAnsi="Times New Roman"/>
        </w:rPr>
        <w:t xml:space="preserve">Утвержден </w:t>
      </w:r>
    </w:p>
    <w:p>
      <w:pPr>
        <w:pStyle w:val="Normal"/>
        <w:spacing w:before="0" w:after="0"/>
        <w:ind w:hanging="0" w:left="6945" w:right="0"/>
        <w:jc w:val="left"/>
        <w:rPr>
          <w:rFonts w:ascii="Times New Roman" w:hAnsi="Times New Roman"/>
          <w:b w:val="false"/>
          <w:sz w:val="24"/>
        </w:rPr>
      </w:pPr>
      <w:r>
        <w:rPr>
          <w:rFonts w:ascii="Times New Roman" w:hAnsi="Times New Roman"/>
          <w:b w:val="false"/>
          <w:sz w:val="24"/>
        </w:rPr>
        <w:t xml:space="preserve">  </w:t>
      </w:r>
      <w:r>
        <w:rPr>
          <w:rFonts w:ascii="Times New Roman" w:hAnsi="Times New Roman"/>
          <w:b w:val="false"/>
          <w:sz w:val="24"/>
        </w:rPr>
        <w:t>постановлением</w:t>
      </w:r>
    </w:p>
    <w:p>
      <w:pPr>
        <w:pStyle w:val="Normal"/>
        <w:spacing w:before="0" w:after="0"/>
        <w:ind w:hanging="0" w:left="-589" w:right="120"/>
        <w:jc w:val="right"/>
        <w:rPr>
          <w:rFonts w:ascii="Times New Roman" w:hAnsi="Times New Roman"/>
          <w:b w:val="false"/>
          <w:sz w:val="24"/>
        </w:rPr>
      </w:pPr>
      <w:r>
        <w:rPr>
          <w:rFonts w:ascii="Times New Roman" w:hAnsi="Times New Roman"/>
          <w:b w:val="false"/>
          <w:sz w:val="24"/>
        </w:rPr>
        <w:t>Кабинета Министров</w:t>
      </w:r>
    </w:p>
    <w:p>
      <w:pPr>
        <w:pStyle w:val="Normal"/>
        <w:spacing w:before="0" w:after="0"/>
        <w:ind w:hanging="0" w:left="120" w:right="0"/>
        <w:jc w:val="right"/>
        <w:rPr>
          <w:rFonts w:ascii="Times New Roman" w:hAnsi="Times New Roman"/>
          <w:b w:val="false"/>
          <w:sz w:val="24"/>
        </w:rPr>
      </w:pPr>
      <w:r>
        <w:rPr>
          <w:rFonts w:ascii="Times New Roman" w:hAnsi="Times New Roman"/>
          <w:b w:val="false"/>
          <w:sz w:val="24"/>
        </w:rPr>
        <w:t xml:space="preserve">   </w:t>
      </w:r>
      <w:r>
        <w:rPr>
          <w:rFonts w:ascii="Times New Roman" w:hAnsi="Times New Roman"/>
          <w:b w:val="false"/>
          <w:sz w:val="24"/>
        </w:rPr>
        <w:t>Республики Татарстан</w:t>
      </w:r>
    </w:p>
    <w:p>
      <w:pPr>
        <w:pStyle w:val="Normal"/>
        <w:spacing w:before="0" w:after="0"/>
        <w:ind w:hanging="0" w:left="120" w:right="-283"/>
        <w:jc w:val="right"/>
        <w:rPr>
          <w:rFonts w:ascii="Times New Roman" w:hAnsi="Times New Roman"/>
          <w:b w:val="false"/>
          <w:sz w:val="24"/>
        </w:rPr>
      </w:pPr>
      <w:r>
        <w:rPr>
          <w:rFonts w:ascii="Times New Roman" w:hAnsi="Times New Roman"/>
          <w:b w:val="false"/>
          <w:sz w:val="24"/>
        </w:rPr>
        <w:t xml:space="preserve">    </w:t>
      </w:r>
      <w:r>
        <w:rPr>
          <w:rFonts w:ascii="Times New Roman" w:hAnsi="Times New Roman"/>
          <w:b w:val="false"/>
          <w:sz w:val="24"/>
        </w:rPr>
        <w:t>от 30 июня 2021 г. N 514</w:t>
      </w:r>
    </w:p>
    <w:p>
      <w:pPr>
        <w:pStyle w:val="Normal"/>
        <w:spacing w:before="120" w:after="120"/>
        <w:ind w:hanging="0" w:left="120" w:right="120"/>
        <w:jc w:val="both"/>
        <w:rPr>
          <w:rFonts w:ascii="Times New Roman" w:hAnsi="Times New Roman"/>
          <w:b w:val="false"/>
          <w:sz w:val="24"/>
        </w:rPr>
      </w:pPr>
      <w:r>
        <w:rPr>
          <w:rFonts w:ascii="Times New Roman" w:hAnsi="Times New Roman"/>
          <w:b w:val="false"/>
          <w:sz w:val="24"/>
        </w:rPr>
        <w:t> </w:t>
      </w:r>
    </w:p>
    <w:p>
      <w:pPr>
        <w:pStyle w:val="Normal"/>
        <w:spacing w:before="0" w:after="0"/>
        <w:ind w:hanging="0" w:left="120" w:right="120"/>
        <w:jc w:val="center"/>
        <w:rPr>
          <w:rFonts w:ascii="Arial" w:hAnsi="Arial"/>
          <w:b/>
          <w:sz w:val="24"/>
        </w:rPr>
      </w:pPr>
      <w:r>
        <w:rPr>
          <w:rFonts w:ascii="Arial" w:hAnsi="Arial"/>
          <w:b/>
          <w:sz w:val="24"/>
        </w:rPr>
        <w:t>ПОРЯДОК</w:t>
      </w:r>
    </w:p>
    <w:p>
      <w:pPr>
        <w:pStyle w:val="Normal"/>
        <w:spacing w:before="0" w:after="0"/>
        <w:ind w:hanging="0" w:left="120" w:right="120"/>
        <w:jc w:val="center"/>
        <w:rPr>
          <w:rFonts w:ascii="Arial" w:hAnsi="Arial"/>
          <w:b/>
          <w:sz w:val="24"/>
        </w:rPr>
      </w:pPr>
      <w:r>
        <w:rPr>
          <w:rFonts w:ascii="Arial" w:hAnsi="Arial"/>
          <w:b/>
          <w:sz w:val="24"/>
        </w:rPr>
        <w:t>ПРЕДОСТАВЛЕНИЯ ИЗ БЮДЖЕТА РЕСПУБЛИКИ ТАТАРСТАН СУБСИДИИ</w:t>
      </w:r>
    </w:p>
    <w:p>
      <w:pPr>
        <w:pStyle w:val="Normal"/>
        <w:spacing w:before="0" w:after="0"/>
        <w:ind w:hanging="0" w:left="120" w:right="120"/>
        <w:jc w:val="center"/>
        <w:rPr>
          <w:rFonts w:ascii="Arial" w:hAnsi="Arial"/>
          <w:b/>
          <w:sz w:val="24"/>
        </w:rPr>
      </w:pPr>
      <w:r>
        <w:rPr>
          <w:rFonts w:ascii="Arial" w:hAnsi="Arial"/>
          <w:b/>
          <w:sz w:val="24"/>
        </w:rPr>
        <w:t>НА СТИМУЛИРОВАНИЕ УВЕЛИЧЕНИЯ ПРОИЗВОДСТВА КАРТОФЕЛЯ И ОВОЩЕЙ</w:t>
      </w:r>
    </w:p>
    <w:p>
      <w:pPr>
        <w:pStyle w:val="Normal"/>
        <w:spacing w:before="0" w:after="0"/>
        <w:ind w:hanging="0" w:left="120" w:right="120"/>
        <w:jc w:val="center"/>
        <w:rPr>
          <w:rFonts w:ascii="Arial" w:hAnsi="Arial"/>
          <w:b/>
          <w:sz w:val="24"/>
        </w:rPr>
      </w:pPr>
      <w:r>
        <w:rPr>
          <w:rFonts w:ascii="Arial" w:hAnsi="Arial"/>
          <w:b/>
          <w:sz w:val="24"/>
        </w:rPr>
        <w:t>ОТКРЫТОГО ГРУНТА, ПРОИЗВЕДЕННЫХ ГРАЖДАНАМИ, ВЕДУЩИМИ ЛИЧНОЕ</w:t>
      </w:r>
    </w:p>
    <w:p>
      <w:pPr>
        <w:pStyle w:val="Normal"/>
        <w:spacing w:before="0" w:after="0"/>
        <w:ind w:hanging="0" w:left="120" w:right="120"/>
        <w:jc w:val="center"/>
        <w:rPr>
          <w:rFonts w:ascii="Arial" w:hAnsi="Arial"/>
          <w:b/>
          <w:sz w:val="24"/>
        </w:rPr>
      </w:pPr>
      <w:r>
        <w:rPr>
          <w:rFonts w:ascii="Arial" w:hAnsi="Arial"/>
          <w:b/>
          <w:sz w:val="24"/>
        </w:rPr>
        <w:t>ПОДСОБНОЕ ХОЗЯЙСТВО И ПРИМЕНЯЮЩИМИ СПЕЦИАЛЬНЫЙ НАЛОГОВЫЙ</w:t>
      </w:r>
    </w:p>
    <w:p>
      <w:pPr>
        <w:pStyle w:val="Normal"/>
        <w:spacing w:before="0" w:after="0"/>
        <w:ind w:hanging="0" w:left="120" w:right="120"/>
        <w:jc w:val="center"/>
        <w:rPr>
          <w:rFonts w:ascii="Arial" w:hAnsi="Arial"/>
          <w:b/>
          <w:sz w:val="24"/>
        </w:rPr>
      </w:pPr>
      <w:r>
        <w:rPr>
          <w:rFonts w:ascii="Arial" w:hAnsi="Arial"/>
          <w:b/>
          <w:sz w:val="24"/>
        </w:rPr>
        <w:t>РЕЖИМ "НАЛОГ НА ПРОФЕССИОНАЛЬНЫЙ ДОХОД", СОФИНАНСИРУЕМОЙ</w:t>
      </w:r>
    </w:p>
    <w:p>
      <w:pPr>
        <w:pStyle w:val="Normal"/>
        <w:spacing w:before="0" w:after="0"/>
        <w:ind w:hanging="0" w:left="120" w:right="120"/>
        <w:jc w:val="center"/>
        <w:rPr>
          <w:rFonts w:ascii="Arial" w:hAnsi="Arial"/>
          <w:b/>
          <w:sz w:val="24"/>
        </w:rPr>
      </w:pPr>
      <w:r>
        <w:rPr>
          <w:rFonts w:ascii="Arial" w:hAnsi="Arial"/>
          <w:b/>
          <w:sz w:val="24"/>
        </w:rPr>
        <w:t>ИЗ ФЕДЕРАЛЬНОГО БЮДЖЕТА</w:t>
      </w:r>
    </w:p>
    <w:p>
      <w:pPr>
        <w:pStyle w:val="Normal"/>
        <w:spacing w:before="0" w:after="0"/>
        <w:ind w:hanging="0" w:left="120" w:right="120"/>
        <w:jc w:val="center"/>
        <w:rPr>
          <w:rFonts w:ascii="Times New Roman" w:hAnsi="Times New Roman"/>
          <w:sz w:val="24"/>
        </w:rPr>
      </w:pPr>
      <w:r>
        <w:rPr>
          <w:rFonts w:ascii="Times New Roman" w:hAnsi="Times New Roman"/>
          <w:sz w:val="24"/>
        </w:rPr>
        <w:t>Список изменяющих документов</w:t>
      </w:r>
    </w:p>
    <w:p>
      <w:pPr>
        <w:pStyle w:val="Normal"/>
        <w:spacing w:before="0" w:after="0"/>
        <w:ind w:hanging="0" w:left="120" w:right="120"/>
        <w:jc w:val="center"/>
        <w:rPr>
          <w:rFonts w:ascii="Times New Roman" w:hAnsi="Times New Roman"/>
          <w:sz w:val="24"/>
        </w:rPr>
      </w:pPr>
      <w:r>
        <w:rPr>
          <w:rFonts w:ascii="Times New Roman" w:hAnsi="Times New Roman"/>
          <w:sz w:val="24"/>
        </w:rPr>
        <w:t xml:space="preserve">(введен </w:t>
      </w:r>
      <w:hyperlink r:id="rId2">
        <w:r>
          <w:rPr>
            <w:rStyle w:val="ListLabel1"/>
            <w:rFonts w:ascii="Times New Roman" w:hAnsi="Times New Roman"/>
            <w:strike w:val="false"/>
            <w:dstrike w:val="false"/>
            <w:color w:val="0000FF"/>
            <w:sz w:val="24"/>
          </w:rPr>
          <w:t>Постановлением</w:t>
        </w:r>
      </w:hyperlink>
      <w:r>
        <w:rPr>
          <w:rFonts w:ascii="Times New Roman" w:hAnsi="Times New Roman"/>
          <w:sz w:val="24"/>
        </w:rPr>
        <w:t xml:space="preserve"> КМ РТ от 17.04.2024 N 258)</w:t>
      </w:r>
    </w:p>
    <w:p>
      <w:pPr>
        <w:pStyle w:val="Normal"/>
        <w:spacing w:before="120" w:after="120"/>
        <w:ind w:hanging="0" w:left="120" w:right="120"/>
        <w:jc w:val="both"/>
        <w:rPr>
          <w:rFonts w:ascii="Times New Roman" w:hAnsi="Times New Roman"/>
          <w:b w:val="false"/>
          <w:sz w:val="24"/>
        </w:rPr>
      </w:pPr>
      <w:r>
        <w:rPr>
          <w:rFonts w:ascii="Times New Roman" w:hAnsi="Times New Roman"/>
          <w:b w:val="false"/>
          <w:sz w:val="24"/>
        </w:rPr>
        <w:t> </w:t>
      </w:r>
    </w:p>
    <w:p>
      <w:pPr>
        <w:pStyle w:val="Normal"/>
        <w:spacing w:before="120" w:after="120"/>
        <w:ind w:hanging="0" w:left="120" w:right="120"/>
        <w:jc w:val="center"/>
        <w:rPr>
          <w:rFonts w:ascii="Arial" w:hAnsi="Arial"/>
          <w:b/>
          <w:sz w:val="24"/>
        </w:rPr>
      </w:pPr>
      <w:r>
        <w:rPr>
          <w:rFonts w:ascii="Arial" w:hAnsi="Arial"/>
          <w:b/>
          <w:sz w:val="24"/>
        </w:rPr>
        <w:t>I. Общие положения и условия предоставления субсидии</w:t>
      </w:r>
    </w:p>
    <w:p>
      <w:pPr>
        <w:pStyle w:val="Normal"/>
        <w:spacing w:before="120" w:after="120"/>
        <w:ind w:hanging="0" w:left="120" w:right="120"/>
        <w:jc w:val="both"/>
        <w:rPr>
          <w:rFonts w:ascii="Times New Roman" w:hAnsi="Times New Roman"/>
          <w:b w:val="false"/>
          <w:sz w:val="24"/>
        </w:rPr>
      </w:pPr>
      <w:r>
        <w:rPr>
          <w:rFonts w:ascii="Times New Roman" w:hAnsi="Times New Roman"/>
          <w:b w:val="false"/>
          <w:sz w:val="24"/>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 Настоящий Порядок определяет условия и порядок предоставления из бюджета Республики Татарстан субсидии на стимулирование увеличения производства картофеля и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софинансируемой из федерального бюджета (далее соответственно - субсидия, участники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Субсидия предоставляется на возмещение части затрат на производство картофеля и овощей открытого грунта по ставке на 1 тонну реализованных юридическим лицам картофеля и овощей открытого грунта.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2. Субсидия предоставляется в рамках регионального </w:t>
      </w:r>
      <w:hyperlink r:id="rId3">
        <w:r>
          <w:rPr>
            <w:rStyle w:val="ListLabel2"/>
            <w:rFonts w:ascii="PT Astra Serif" w:hAnsi="PT Astra Serif"/>
            <w:b w:val="false"/>
            <w:strike w:val="false"/>
            <w:dstrike w:val="false"/>
            <w:color w:val="0000FF"/>
            <w:sz w:val="28"/>
          </w:rPr>
          <w:t>проекта</w:t>
        </w:r>
      </w:hyperlink>
      <w:r>
        <w:rPr>
          <w:rFonts w:ascii="PT Astra Serif" w:hAnsi="PT Astra Serif"/>
          <w:b w:val="false"/>
          <w:sz w:val="28"/>
        </w:rPr>
        <w:t xml:space="preserve"> "Развитие отраслей овощеводства и картофелеводства"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N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 Способом проведения отбора получателей субсидий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6. Получатель субсидии должен соответствовать следующим критериям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ведение деятельности на территории Республики Татарстан и уплата налогов в бюджет Республики Татарстан;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применение налогового режима, подтвержденного справкой налогового органа, о постановке на учет (снятии с учета) физического лица в качестве плательщика налога на профессиональный доход.</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7.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8.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9. Доступ участников отбора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10. Субсидия предоставляется при условии: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представления выписки из похозяйственной книги, подтверждающей ведение производственной деятельности в личном подсобном хозяйстве не менее чем в течение 12 месяцев, предшествующих году предоставления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наличия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11. Способом предоставления субсидии является возмещение затрат.</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12. Направлениями затрат, на возмещение которых предоставляется субсидия, являются затраты, связанные с производством картофеля и овощей открытого грунта (затраты на приобретение минеральных удобрений, семян, средств защиты растений, горюче-смазочных материалов, запасных частей, энергоносителей, природного газа, субстратов для выращивания растений).</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13. Размер субсидии, предоставляемой получателю субсидии в соответствии с </w:t>
      </w:r>
      <w:r>
        <w:rPr>
          <w:rFonts w:ascii="PT Astra Serif" w:hAnsi="PT Astra Serif"/>
          <w:b w:val="false"/>
          <w:strike w:val="false"/>
          <w:dstrike w:val="false"/>
          <w:color w:val="0000FF"/>
          <w:sz w:val="28"/>
        </w:rPr>
        <w:t>пунктом 1</w:t>
      </w:r>
      <w:r>
        <w:rPr>
          <w:rFonts w:ascii="PT Astra Serif" w:hAnsi="PT Astra Serif"/>
          <w:b w:val="false"/>
          <w:sz w:val="28"/>
        </w:rPr>
        <w:t xml:space="preserve"> настоящего Порядка (Wлпх) (в рублях), определяется по следующей формуле:</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687" w:left="-567" w:right="120"/>
        <w:jc w:val="center"/>
        <w:rPr>
          <w:rFonts w:ascii="PT Astra Serif" w:hAnsi="PT Astra Serif"/>
          <w:sz w:val="28"/>
        </w:rPr>
      </w:pPr>
      <w:r>
        <w:rPr>
          <w:rFonts w:ascii="PT Astra Serif" w:hAnsi="PT Astra Serif"/>
          <w:sz w:val="28"/>
        </w:rPr>
        <w:t>Wлпх = (Vлпхк x Sлпхк) + (Vлпхо x Sлпхо),</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где: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Vлпхк - объем реализованного юридическим лицам картофеля получателем субсидии в текущем финансовом году, тонн;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Sлпхк - ставка субсидии на 1 тонну реализованного юридическим лицам картофеля в размере 9,0 тыс. рублей;</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Vлпхо - объем реализованных юридическим лицам овощей открытого грунта получателем субсидии в текущем финансовом году, тонн;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Sлпхо - ставка субсидии на 1 тонну реализованных юридическим лицам овощей открытого грунта в размере 10,0 тыс. рублей.</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Размер субсидии, предоставляемой получателю субсидии, не может превышать размера фактически понесенных затрат получателя субсидии на производство картофеля и (или) овощей открытого грунта.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14. Результатами предоставления субсидии являются: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субсидию, по состоянию на дату подачи заявки, тонн;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субсидию, по состоянию на дату подачи заявки, тонн.</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687" w:left="-567" w:right="120"/>
        <w:jc w:val="center"/>
        <w:rPr>
          <w:rFonts w:ascii="PT Astra Serif" w:hAnsi="PT Astra Serif"/>
          <w:b/>
          <w:sz w:val="28"/>
        </w:rPr>
      </w:pPr>
      <w:r>
        <w:rPr>
          <w:rFonts w:ascii="PT Astra Serif" w:hAnsi="PT Astra Serif"/>
          <w:b/>
          <w:sz w:val="28"/>
        </w:rPr>
        <w:t>II. Требования к участникам отбора</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15. Участник отбора по состоянию на даты рассмотрения заявки и заключения соглашения о предоставлении субсидии (далее - соглашение) должен соответствовать следующим требованиям: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не находится в составляемых в рамках реализации полномочий, предусмотренных </w:t>
      </w:r>
      <w:hyperlink r:id="rId4">
        <w:r>
          <w:rPr>
            <w:rStyle w:val="ListLabel2"/>
            <w:rFonts w:ascii="PT Astra Serif" w:hAnsi="PT Astra Serif"/>
            <w:b w:val="false"/>
            <w:strike w:val="false"/>
            <w:dstrike w:val="false"/>
            <w:color w:val="0000FF"/>
            <w:sz w:val="28"/>
          </w:rPr>
          <w:t>главой VII</w:t>
        </w:r>
      </w:hyperlink>
      <w:r>
        <w:rPr>
          <w:rFonts w:ascii="PT Astra Serif" w:hAnsi="PT Astra Serif"/>
          <w:b w:val="false"/>
          <w:sz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не получает средства из бюджета Республики Татарстан на основании иных нормативных правовых актов Республики Татарстан на цели, указанные в </w:t>
      </w:r>
      <w:r>
        <w:rPr>
          <w:rFonts w:ascii="PT Astra Serif" w:hAnsi="PT Astra Serif"/>
          <w:b w:val="false"/>
          <w:strike w:val="false"/>
          <w:dstrike w:val="false"/>
          <w:color w:val="0000FF"/>
          <w:sz w:val="28"/>
        </w:rPr>
        <w:t>пункте 1</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не является иностранным агентом в соответствии с Федеральным </w:t>
      </w:r>
      <w:hyperlink r:id="rId5">
        <w:r>
          <w:rPr>
            <w:rStyle w:val="ListLabel2"/>
            <w:rFonts w:ascii="PT Astra Serif" w:hAnsi="PT Astra Serif"/>
            <w:b w:val="false"/>
            <w:strike w:val="false"/>
            <w:dstrike w:val="false"/>
            <w:color w:val="0000FF"/>
            <w:sz w:val="28"/>
          </w:rPr>
          <w:t>законом</w:t>
        </w:r>
      </w:hyperlink>
      <w:r>
        <w:rPr>
          <w:rFonts w:ascii="PT Astra Serif" w:hAnsi="PT Astra Serif"/>
          <w:b w:val="false"/>
          <w:sz w:val="28"/>
        </w:rPr>
        <w:t xml:space="preserve"> от 14 июля 2022 года N 255-ФЗ "О контроле за деятельностью лиц, находящихся под иностранным влиянием";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у участника отбора на едином налоговом счете отсутствует или не превышает размер, определенный </w:t>
      </w:r>
      <w:hyperlink r:id="rId6">
        <w:r>
          <w:rPr>
            <w:rStyle w:val="ListLabel2"/>
            <w:rFonts w:ascii="PT Astra Serif" w:hAnsi="PT Astra Serif"/>
            <w:b w:val="false"/>
            <w:strike w:val="false"/>
            <w:dstrike w:val="false"/>
            <w:color w:val="0000FF"/>
            <w:sz w:val="28"/>
          </w:rPr>
          <w:t>пунктом 3 статьи 47</w:t>
        </w:r>
      </w:hyperlink>
      <w:r>
        <w:rPr>
          <w:rFonts w:ascii="PT Astra Serif" w:hAnsi="PT Astra Serif"/>
          <w:b w:val="false"/>
          <w:sz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16. Проверка участника отбора на соответствие требованиям, определенным </w:t>
      </w:r>
      <w:r>
        <w:rPr>
          <w:rFonts w:ascii="PT Astra Serif" w:hAnsi="PT Astra Serif"/>
          <w:b w:val="false"/>
          <w:strike w:val="false"/>
          <w:dstrike w:val="false"/>
          <w:color w:val="0000FF"/>
          <w:sz w:val="28"/>
        </w:rPr>
        <w:t>пунктом 15</w:t>
      </w:r>
      <w:r>
        <w:rPr>
          <w:rFonts w:ascii="PT Astra Serif" w:hAnsi="PT Astra Serif"/>
          <w:b w:val="false"/>
          <w:sz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Министерство не вправе требовать представление документов, подтверждающих соответствие участника отбора требованиям, определенным </w:t>
      </w:r>
      <w:r>
        <w:rPr>
          <w:rFonts w:ascii="PT Astra Serif" w:hAnsi="PT Astra Serif"/>
          <w:b w:val="false"/>
          <w:strike w:val="false"/>
          <w:dstrike w:val="false"/>
          <w:color w:val="0000FF"/>
          <w:sz w:val="28"/>
        </w:rPr>
        <w:t>пунктом 15</w:t>
      </w:r>
      <w:r>
        <w:rPr>
          <w:rFonts w:ascii="PT Astra Serif" w:hAnsi="PT Astra Serif"/>
          <w:b w:val="false"/>
          <w:sz w:val="28"/>
        </w:rPr>
        <w:t xml:space="preserve">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Подтверждение соответствия участника отбора требованиям, определенным </w:t>
      </w:r>
      <w:r>
        <w:rPr>
          <w:rFonts w:ascii="PT Astra Serif" w:hAnsi="PT Astra Serif"/>
          <w:b w:val="false"/>
          <w:strike w:val="false"/>
          <w:dstrike w:val="false"/>
          <w:color w:val="0000FF"/>
          <w:sz w:val="28"/>
        </w:rPr>
        <w:t>пунктом 15</w:t>
      </w:r>
      <w:r>
        <w:rPr>
          <w:rFonts w:ascii="PT Astra Serif" w:hAnsi="PT Astra Serif"/>
          <w:b w:val="false"/>
          <w:sz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687" w:left="-567" w:right="120"/>
        <w:jc w:val="center"/>
        <w:rPr>
          <w:rFonts w:ascii="PT Astra Serif" w:hAnsi="PT Astra Serif"/>
          <w:b/>
          <w:sz w:val="28"/>
        </w:rPr>
      </w:pPr>
      <w:r>
        <w:rPr>
          <w:rFonts w:ascii="PT Astra Serif" w:hAnsi="PT Astra Serif"/>
          <w:b/>
          <w:sz w:val="28"/>
        </w:rPr>
        <w:t>III. Порядок формирования и размещения объявления</w:t>
      </w:r>
    </w:p>
    <w:p>
      <w:pPr>
        <w:pStyle w:val="Normal"/>
        <w:spacing w:before="120" w:after="120"/>
        <w:ind w:firstLine="687" w:left="-567" w:right="120"/>
        <w:jc w:val="center"/>
        <w:rPr>
          <w:rFonts w:ascii="PT Astra Serif" w:hAnsi="PT Astra Serif"/>
          <w:b/>
          <w:sz w:val="28"/>
        </w:rPr>
      </w:pPr>
      <w:r>
        <w:rPr>
          <w:rFonts w:ascii="PT Astra Serif" w:hAnsi="PT Astra Serif"/>
          <w:b/>
          <w:sz w:val="28"/>
        </w:rPr>
        <w:t>о проведении отбора</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17. Объявление о проведении отбора размещается Министерством не позднее одного календарного дня со дня формирования объявления Министерством в системе "Электронный бюджет"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сроки проведения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наименование, место нахождения, почтовый адрес, адрес электронной почты Министерства;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результат предоставления субсидии в соответствии с </w:t>
      </w:r>
      <w:r>
        <w:rPr>
          <w:rFonts w:ascii="PT Astra Serif" w:hAnsi="PT Astra Serif"/>
          <w:b w:val="false"/>
          <w:strike w:val="false"/>
          <w:dstrike w:val="false"/>
          <w:color w:val="0000FF"/>
          <w:sz w:val="28"/>
        </w:rPr>
        <w:t>пунктом 14</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доменное имя и (или) указатели страниц государственной информационной системы в сети "Интернет";</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требования к участникам отбора, определенные </w:t>
      </w:r>
      <w:r>
        <w:rPr>
          <w:rFonts w:ascii="PT Astra Serif" w:hAnsi="PT Astra Serif"/>
          <w:b w:val="false"/>
          <w:strike w:val="false"/>
          <w:dstrike w:val="false"/>
          <w:color w:val="0000FF"/>
          <w:sz w:val="28"/>
        </w:rPr>
        <w:t>пунктом 15</w:t>
      </w:r>
      <w:r>
        <w:rPr>
          <w:rFonts w:ascii="PT Astra Serif" w:hAnsi="PT Astra Serif"/>
          <w:b w:val="false"/>
          <w:sz w:val="28"/>
        </w:rPr>
        <w:t xml:space="preserve">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критерии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порядок подачи участниками отбора заявок и требования, предъявляемые к форме и содержанию заявок в соответствии с </w:t>
      </w:r>
      <w:r>
        <w:rPr>
          <w:rFonts w:ascii="PT Astra Serif" w:hAnsi="PT Astra Serif"/>
          <w:b w:val="false"/>
          <w:strike w:val="false"/>
          <w:dstrike w:val="false"/>
          <w:color w:val="0000FF"/>
          <w:sz w:val="28"/>
        </w:rPr>
        <w:t>пунктами 24</w:t>
      </w:r>
      <w:r>
        <w:rPr>
          <w:rFonts w:ascii="PT Astra Serif" w:hAnsi="PT Astra Serif"/>
          <w:b w:val="false"/>
          <w:sz w:val="28"/>
        </w:rPr>
        <w:t xml:space="preserve"> - </w:t>
      </w:r>
      <w:r>
        <w:rPr>
          <w:rFonts w:ascii="PT Astra Serif" w:hAnsi="PT Astra Serif"/>
          <w:b w:val="false"/>
          <w:strike w:val="false"/>
          <w:dstrike w:val="false"/>
          <w:color w:val="0000FF"/>
          <w:sz w:val="28"/>
        </w:rPr>
        <w:t>29</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порядок отзыва заявок, порядок их возврата, определяющий в том числе основания для возврата заявок, порядок внесения изменений в заявки в соответствии с </w:t>
      </w:r>
      <w:r>
        <w:rPr>
          <w:rFonts w:ascii="PT Astra Serif" w:hAnsi="PT Astra Serif"/>
          <w:b w:val="false"/>
          <w:strike w:val="false"/>
          <w:dstrike w:val="false"/>
          <w:color w:val="0000FF"/>
          <w:sz w:val="28"/>
        </w:rPr>
        <w:t>пунктом 30</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правила рассмотрения заявок в соответствии с </w:t>
      </w:r>
      <w:r>
        <w:rPr>
          <w:rFonts w:ascii="PT Astra Serif" w:hAnsi="PT Astra Serif"/>
          <w:b w:val="false"/>
          <w:strike w:val="false"/>
          <w:dstrike w:val="false"/>
          <w:color w:val="0000FF"/>
          <w:sz w:val="28"/>
        </w:rPr>
        <w:t>пунктами 33</w:t>
      </w:r>
      <w:r>
        <w:rPr>
          <w:rFonts w:ascii="PT Astra Serif" w:hAnsi="PT Astra Serif"/>
          <w:b w:val="false"/>
          <w:sz w:val="28"/>
        </w:rPr>
        <w:t xml:space="preserve"> - </w:t>
      </w:r>
      <w:r>
        <w:rPr>
          <w:rFonts w:ascii="PT Astra Serif" w:hAnsi="PT Astra Serif"/>
          <w:b w:val="false"/>
          <w:strike w:val="false"/>
          <w:dstrike w:val="false"/>
          <w:color w:val="0000FF"/>
          <w:sz w:val="28"/>
        </w:rPr>
        <w:t>36</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порядок возврата заявок на доработку;</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порядок отклонения заявок, а также информацию об основаниях их отклонения в соответствии с </w:t>
      </w:r>
      <w:r>
        <w:rPr>
          <w:rFonts w:ascii="PT Astra Serif" w:hAnsi="PT Astra Serif"/>
          <w:b w:val="false"/>
          <w:strike w:val="false"/>
          <w:dstrike w:val="false"/>
          <w:color w:val="0000FF"/>
          <w:sz w:val="28"/>
        </w:rPr>
        <w:t>пунктом 37</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r>
        <w:rPr>
          <w:rFonts w:ascii="PT Astra Serif" w:hAnsi="PT Astra Serif"/>
          <w:b w:val="false"/>
          <w:strike w:val="false"/>
          <w:dstrike w:val="false"/>
          <w:color w:val="0000FF"/>
          <w:sz w:val="28"/>
        </w:rPr>
        <w:t>пунктами 31</w:t>
      </w:r>
      <w:r>
        <w:rPr>
          <w:rFonts w:ascii="PT Astra Serif" w:hAnsi="PT Astra Serif"/>
          <w:b w:val="false"/>
          <w:sz w:val="28"/>
        </w:rPr>
        <w:t xml:space="preserve"> - </w:t>
      </w:r>
      <w:r>
        <w:rPr>
          <w:rFonts w:ascii="PT Astra Serif" w:hAnsi="PT Astra Serif"/>
          <w:b w:val="false"/>
          <w:strike w:val="false"/>
          <w:dstrike w:val="false"/>
          <w:color w:val="0000FF"/>
          <w:sz w:val="28"/>
        </w:rPr>
        <w:t>32</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срок, в течение которого победитель (победители) отбора должен подписать соглашение в соответствии с </w:t>
      </w:r>
      <w:r>
        <w:rPr>
          <w:rFonts w:ascii="PT Astra Serif" w:hAnsi="PT Astra Serif"/>
          <w:b w:val="false"/>
          <w:strike w:val="false"/>
          <w:dstrike w:val="false"/>
          <w:color w:val="0000FF"/>
          <w:sz w:val="28"/>
        </w:rPr>
        <w:t>пунктом 46</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условия признания победителя (победителей) отбора уклонившимся от заключения соглашения в соответствии с </w:t>
      </w:r>
      <w:r>
        <w:rPr>
          <w:rFonts w:ascii="PT Astra Serif" w:hAnsi="PT Astra Serif"/>
          <w:b w:val="false"/>
          <w:strike w:val="false"/>
          <w:dstrike w:val="false"/>
          <w:color w:val="0000FF"/>
          <w:sz w:val="28"/>
        </w:rPr>
        <w:t>пунктом 52</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сроки размещения протокола подведения итогов отбора на едином портале, а также на официальном сайте Министерства </w:t>
      </w:r>
      <w:hyperlink r:id="rId7">
        <w:r>
          <w:rPr>
            <w:rStyle w:val="ListLabel2"/>
            <w:rFonts w:ascii="PT Astra Serif" w:hAnsi="PT Astra Serif"/>
            <w:b w:val="false"/>
            <w:strike w:val="false"/>
            <w:dstrike w:val="false"/>
            <w:color w:val="0000FF"/>
            <w:sz w:val="28"/>
          </w:rPr>
          <w:t>https://agro.tatarstan.ru</w:t>
        </w:r>
      </w:hyperlink>
      <w:r>
        <w:rPr>
          <w:rFonts w:ascii="PT Astra Serif" w:hAnsi="PT Astra Serif"/>
          <w:b w:val="false"/>
          <w:sz w:val="28"/>
        </w:rPr>
        <w:t xml:space="preserve"> в сети "Интернет" (далее - официальный сайт Министерства), которые не могут быть позднее 14-го календарного дня, следующего за днем определения победителя отбора.</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687" w:left="-567" w:right="120"/>
        <w:jc w:val="center"/>
        <w:rPr>
          <w:rFonts w:ascii="PT Astra Serif" w:hAnsi="PT Astra Serif"/>
          <w:b/>
          <w:sz w:val="28"/>
        </w:rPr>
      </w:pPr>
      <w:r>
        <w:rPr>
          <w:rFonts w:ascii="PT Astra Serif" w:hAnsi="PT Astra Serif"/>
          <w:b/>
          <w:sz w:val="28"/>
        </w:rPr>
        <w:t>IV. Порядок отмены проведения отбора</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19.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Случаем отмены отбора является отзыв лимитов бюджетных обязательств, доведенных Министерству на цели, указанные в </w:t>
      </w:r>
      <w:r>
        <w:rPr>
          <w:rFonts w:ascii="PT Astra Serif" w:hAnsi="PT Astra Serif"/>
          <w:b w:val="false"/>
          <w:strike w:val="false"/>
          <w:dstrike w:val="false"/>
          <w:color w:val="0000FF"/>
          <w:sz w:val="28"/>
        </w:rPr>
        <w:t>пункте 1</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21. Участники отбора, подавшие заявки, информируются об отмене проведения отбора в системе "Электронный бюджет".</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22. Отбор считается отмененным со дня размещения объявления о его отмене на едином портале.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23. После окончания срока отмены проведения отбора в соответствии с </w:t>
      </w:r>
      <w:r>
        <w:rPr>
          <w:rFonts w:ascii="PT Astra Serif" w:hAnsi="PT Astra Serif"/>
          <w:b w:val="false"/>
          <w:strike w:val="false"/>
          <w:dstrike w:val="false"/>
          <w:color w:val="0000FF"/>
          <w:sz w:val="28"/>
        </w:rPr>
        <w:t>пунктом 19</w:t>
      </w:r>
      <w:r>
        <w:rPr>
          <w:rFonts w:ascii="PT Astra Serif" w:hAnsi="PT Astra Serif"/>
          <w:b w:val="false"/>
          <w:sz w:val="28"/>
        </w:rPr>
        <w:t xml:space="preserve">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8">
        <w:r>
          <w:rPr>
            <w:rStyle w:val="ListLabel2"/>
            <w:rFonts w:ascii="PT Astra Serif" w:hAnsi="PT Astra Serif"/>
            <w:b w:val="false"/>
            <w:strike w:val="false"/>
            <w:dstrike w:val="false"/>
            <w:color w:val="0000FF"/>
            <w:sz w:val="28"/>
          </w:rPr>
          <w:t>пунктом 3 статьи 401</w:t>
        </w:r>
      </w:hyperlink>
      <w:r>
        <w:rPr>
          <w:rFonts w:ascii="PT Astra Serif" w:hAnsi="PT Astra Serif"/>
          <w:b w:val="false"/>
          <w:sz w:val="28"/>
        </w:rPr>
        <w:t xml:space="preserve"> Гражданского кодекса Российской Федерации.</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687" w:left="-567" w:right="120"/>
        <w:jc w:val="center"/>
        <w:rPr>
          <w:rFonts w:ascii="PT Astra Serif" w:hAnsi="PT Astra Serif"/>
          <w:b/>
          <w:sz w:val="28"/>
        </w:rPr>
      </w:pPr>
      <w:r>
        <w:rPr>
          <w:rFonts w:ascii="PT Astra Serif" w:hAnsi="PT Astra Serif"/>
          <w:b/>
          <w:sz w:val="28"/>
        </w:rPr>
        <w:t>V. Порядок формирования и подачи участниками отбора заявок</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справки налогового органа о постановке на учет (снятие с учета) физического лица в качестве плательщика налога на профессиональный доход;</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выписки из похозяйственной книги, подтверждающей ведение производственной деятельности в личном подсобном хозяйстве не менее чем в течение 12 месяцев, предшествующих году предоставления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выписки из Единого государственного реестра недвижимости, выданной Управлением Федеральной службы государственной регистрации, кадастра и картографии по Республике Татарстан не ранее текущего года (в случае непредставления участником отбора такого документа Министерство запрашивает его самостоятельно), подтверждающей наличие в собственности земельных участков, подтверждающей 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договоров аренды на земельный участок в случае, если земельный участок с видом разрешенного использования для ведения личного подсобного хозяйства принадлежит участнику отбора на праве аренды;</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справки-расчета о причитающейся субсидии по форме, утвержденной Министерством;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документов, подтверждающих факт реализации юридическим лицам картофеля и овощей открытого грунта собственного производства (договора купли-продажи, акта приема-передачи, платежных поручений, подтверждающих оплату реализованной продукции);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документов, подтверждающих затраты на производство реализованного юридическим лицам картофеля и овощей открытого грунта (договоров купли-продажи, товарных накладных, платежных документов, расписок в получении денежных средств (в случае заключения договора с физическими лицами), универсальных передаточных документов, актов приема-передачи).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25. Заявка подписывается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Фото- и видеоматериалы, включаемые в заявку, должны содержать четкое и контрастное изображение высокого качества.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29. Заявка должна содержать следующие сведения: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а) информация и документы об участнике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идентификационный номер налогоплательщика;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дата постановки на учет в налоговом органе;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дата и место рождения;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страховой номер индивидуального лицевого счета;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номер контактного телефона, почтовый адрес и адрес электронной почты для направления юридически значимых сообщений;</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б) информация и документы, подтверждающие соответствие участника отбора установленным в объявлении о проведении отбора требованиям;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г) предлагаемые участником отбора значения результата предоставления субсидии, размер запрашиваемой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r>
        <w:rPr>
          <w:rFonts w:ascii="PT Astra Serif" w:hAnsi="PT Astra Serif"/>
          <w:b w:val="false"/>
          <w:strike w:val="false"/>
          <w:dstrike w:val="false"/>
          <w:color w:val="0000FF"/>
          <w:sz w:val="28"/>
        </w:rPr>
        <w:t>пункте 24</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32. Министерство в ответ на запрос, указанный в </w:t>
      </w:r>
      <w:r>
        <w:rPr>
          <w:rFonts w:ascii="PT Astra Serif" w:hAnsi="PT Astra Serif"/>
          <w:b w:val="false"/>
          <w:strike w:val="false"/>
          <w:dstrike w:val="false"/>
          <w:color w:val="0000FF"/>
          <w:sz w:val="28"/>
        </w:rPr>
        <w:t>пункте 31</w:t>
      </w:r>
      <w:r>
        <w:rPr>
          <w:rFonts w:ascii="PT Astra Serif" w:hAnsi="PT Astra Serif"/>
          <w:b w:val="false"/>
          <w:sz w:val="28"/>
        </w:rPr>
        <w:t xml:space="preserve">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Доступ к разъяснению, формируемому в системе "Электронный бюджет" в соответствии с </w:t>
      </w:r>
      <w:r>
        <w:rPr>
          <w:rFonts w:ascii="PT Astra Serif" w:hAnsi="PT Astra Serif"/>
          <w:b w:val="false"/>
          <w:strike w:val="false"/>
          <w:dstrike w:val="false"/>
          <w:color w:val="0000FF"/>
          <w:sz w:val="28"/>
        </w:rPr>
        <w:t>абзацем первым</w:t>
      </w:r>
      <w:r>
        <w:rPr>
          <w:rFonts w:ascii="PT Astra Serif" w:hAnsi="PT Astra Serif"/>
          <w:b w:val="false"/>
          <w:sz w:val="28"/>
        </w:rPr>
        <w:t xml:space="preserve"> настоящего пункта, предоставляется всем участникам отбора.</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687" w:left="-567" w:right="120"/>
        <w:jc w:val="center"/>
        <w:rPr>
          <w:rFonts w:ascii="PT Astra Serif" w:hAnsi="PT Astra Serif"/>
          <w:b/>
          <w:sz w:val="28"/>
        </w:rPr>
      </w:pPr>
      <w:r>
        <w:rPr>
          <w:rFonts w:ascii="PT Astra Serif" w:hAnsi="PT Astra Serif"/>
          <w:b/>
          <w:sz w:val="28"/>
        </w:rPr>
        <w:t>VI. Правила рассмотрения заявок, а также</w:t>
      </w:r>
    </w:p>
    <w:p>
      <w:pPr>
        <w:pStyle w:val="Normal"/>
        <w:spacing w:before="120" w:after="120"/>
        <w:ind w:firstLine="687" w:left="-567" w:right="120"/>
        <w:jc w:val="center"/>
        <w:rPr>
          <w:rFonts w:ascii="PT Astra Serif" w:hAnsi="PT Astra Serif"/>
          <w:b/>
          <w:sz w:val="28"/>
        </w:rPr>
      </w:pPr>
      <w:r>
        <w:rPr>
          <w:rFonts w:ascii="PT Astra Serif" w:hAnsi="PT Astra Serif"/>
          <w:b/>
          <w:sz w:val="28"/>
        </w:rPr>
        <w:t>определения победителей отбора</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33. Рассмотрение заявок осуществляется управлениями сельского хозяйства и продовольствия Министерства в соответствующих муниципальных районах Республики Татарстан (далее - Управление) в системе "Электронный бюджет" в течение 15 рабочих дней, следующих за днем открытия доступа Министерству и Управлениям для рассмотрения заявок.</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Доступ Министерству и Управлениям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 системе "Электронный бюджет" Министерством может быть определена дата до окончания срока подачи заявок, после наступления которой Министерству и Управлениям открывается доступ в системе "Электронный бюджет" к поданным участниками отбора заявкам.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а) регистрационный номер заявки;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б) дата и время поступления заявки;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 фамилия, имя, отчество (при наличии) (для физических лиц, в том числе индивидуальных предпринимателей);</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г) адрес регистрации (для физических лиц, в том числе индивидуальных предпринимателей);</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 запрашиваемый участником отбора размер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35.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37. На стадии рассмотрения заявки основаниями для отклонения заявки являются: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а) несоответствие участника отбора требованиям, указанным в объявлении о проведении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б) непредставление (представление не в полном объеме) документов, указанных в объявлении о проведении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 несоответствие представленных документов и (или) заявки требованиям, установленным в объявлении о проведении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г) недостоверность информации, содержащейся в документах, представленных в составе заявки;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 подача участником отбора заявки после даты и (или) времени, определенных для подачи заявок.</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38.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39.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40. Отбор признается несостоявшимся в следующих случаях:</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а) по окончании срока подачи заявок не подано ни одной заявки;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б) по результатам рассмотрения заявок отклонены все заявки.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41. Ранжирование поступивших заявок осуществляется исходя из очередности их поступления.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42.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43.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официальном сайте Министерства не позднее 14-го календарного дня, следующего за днем определения победителя отбора. Протокол включает следующие сведения: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дату, время и место проведения рассмотрения заявок;</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информацию об участниках отбора, заявки которых были рассмотрены;</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наименование получателя (получателей) субсидии, с которым (которыми) заключается соглашение, и размер предоставляемой ему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44. При указании в протоколе подведения итогов отбора размера субсидии, предусмотренной для предоставления участнику отбора в соответствии с </w:t>
      </w:r>
      <w:r>
        <w:rPr>
          <w:rFonts w:ascii="PT Astra Serif" w:hAnsi="PT Astra Serif"/>
          <w:b w:val="false"/>
          <w:strike w:val="false"/>
          <w:dstrike w:val="false"/>
          <w:color w:val="0000FF"/>
          <w:sz w:val="28"/>
        </w:rPr>
        <w:t>пунктом 43</w:t>
      </w:r>
      <w:r>
        <w:rPr>
          <w:rFonts w:ascii="PT Astra Serif" w:hAnsi="PT Astra Serif"/>
          <w:b w:val="false"/>
          <w:sz w:val="28"/>
        </w:rPr>
        <w:t xml:space="preserve">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45. Субсидия, распределяемая в рамках отбора, распределяется между участниками отбора, включенными в рейтинг, указанный в </w:t>
      </w:r>
      <w:r>
        <w:rPr>
          <w:rFonts w:ascii="PT Astra Serif" w:hAnsi="PT Astra Serif"/>
          <w:b w:val="false"/>
          <w:strike w:val="false"/>
          <w:dstrike w:val="false"/>
          <w:color w:val="0000FF"/>
          <w:sz w:val="28"/>
        </w:rPr>
        <w:t>пункте 42</w:t>
      </w:r>
      <w:r>
        <w:rPr>
          <w:rFonts w:ascii="PT Astra Serif" w:hAnsi="PT Astra Serif"/>
          <w:b w:val="false"/>
          <w:sz w:val="28"/>
        </w:rPr>
        <w:t xml:space="preserve">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w:t>
      </w:r>
      <w:r>
        <w:rPr>
          <w:rFonts w:ascii="PT Astra Serif" w:hAnsi="PT Astra Serif"/>
          <w:b w:val="false"/>
          <w:strike w:val="false"/>
          <w:dstrike w:val="false"/>
          <w:color w:val="0000FF"/>
          <w:sz w:val="28"/>
        </w:rPr>
        <w:t>пунктом 13</w:t>
      </w:r>
      <w:r>
        <w:rPr>
          <w:rFonts w:ascii="PT Astra Serif" w:hAnsi="PT Astra Serif"/>
          <w:b w:val="false"/>
          <w:sz w:val="28"/>
        </w:rPr>
        <w:t xml:space="preserve">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w:t>
      </w:r>
      <w:r>
        <w:rPr>
          <w:rFonts w:ascii="PT Astra Serif" w:hAnsi="PT Astra Serif"/>
          <w:b w:val="false"/>
          <w:strike w:val="false"/>
          <w:dstrike w:val="false"/>
          <w:color w:val="0000FF"/>
          <w:sz w:val="28"/>
        </w:rPr>
        <w:t>пунктом 13</w:t>
      </w:r>
      <w:r>
        <w:rPr>
          <w:rFonts w:ascii="PT Astra Serif" w:hAnsi="PT Astra Serif"/>
          <w:b w:val="false"/>
          <w:sz w:val="28"/>
        </w:rPr>
        <w:t xml:space="preserve"> настоящего Порядка, в случае если указанный им размер меньше нераспределенного размера субсидии либо равен ему.</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w:t>
      </w:r>
      <w:r>
        <w:rPr>
          <w:rFonts w:ascii="PT Astra Serif" w:hAnsi="PT Astra Serif"/>
          <w:b w:val="false"/>
          <w:strike w:val="false"/>
          <w:dstrike w:val="false"/>
          <w:color w:val="0000FF"/>
          <w:sz w:val="28"/>
        </w:rPr>
        <w:t>пунктом 13</w:t>
      </w:r>
      <w:r>
        <w:rPr>
          <w:rFonts w:ascii="PT Astra Serif" w:hAnsi="PT Astra Serif"/>
          <w:b w:val="false"/>
          <w:sz w:val="28"/>
        </w:rPr>
        <w:t xml:space="preserve"> настоящего Порядка, без изменения указанного участником отбора в заявке значения результата предоставления субсидии.</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687" w:left="-567" w:right="120"/>
        <w:jc w:val="center"/>
        <w:rPr>
          <w:rFonts w:ascii="PT Astra Serif" w:hAnsi="PT Astra Serif"/>
          <w:b/>
          <w:sz w:val="28"/>
        </w:rPr>
      </w:pPr>
      <w:r>
        <w:rPr>
          <w:rFonts w:ascii="PT Astra Serif" w:hAnsi="PT Astra Serif"/>
          <w:b/>
          <w:sz w:val="28"/>
        </w:rPr>
        <w:t>VII. Порядок заключения соглашений и перечисления субсидии</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46.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Российской Федерации, не позднее 20-го рабочего дня после определения победителя (победителей) отбора.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Соглашение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9">
        <w:r>
          <w:rPr>
            <w:rStyle w:val="ListLabel2"/>
            <w:rFonts w:ascii="PT Astra Serif" w:hAnsi="PT Astra Serif"/>
            <w:b w:val="false"/>
            <w:strike w:val="false"/>
            <w:dstrike w:val="false"/>
            <w:color w:val="0000FF"/>
            <w:sz w:val="28"/>
          </w:rPr>
          <w:t>абзацем вторым пункта 5 статьи 23</w:t>
        </w:r>
      </w:hyperlink>
      <w:r>
        <w:rPr>
          <w:rFonts w:ascii="PT Astra Serif" w:hAnsi="PT Astra Serif"/>
          <w:b w:val="false"/>
          <w:sz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
        <w:r>
          <w:rPr>
            <w:rStyle w:val="ListLabel2"/>
            <w:rFonts w:ascii="PT Astra Serif" w:hAnsi="PT Astra Serif"/>
            <w:b w:val="false"/>
            <w:strike w:val="false"/>
            <w:dstrike w:val="false"/>
            <w:color w:val="0000FF"/>
            <w:sz w:val="28"/>
          </w:rPr>
          <w:t>абзацем вторым пункта 5 статьи 23</w:t>
        </w:r>
      </w:hyperlink>
      <w:r>
        <w:rPr>
          <w:rFonts w:ascii="PT Astra Serif" w:hAnsi="PT Astra Serif"/>
          <w:b w:val="false"/>
          <w:sz w:val="28"/>
        </w:rPr>
        <w:t xml:space="preserve"> Гражданского кодекса Российской Федерации, передающего свои права другому гражданину в соответствии со </w:t>
      </w:r>
      <w:hyperlink r:id="rId11">
        <w:r>
          <w:rPr>
            <w:rStyle w:val="ListLabel2"/>
            <w:rFonts w:ascii="PT Astra Serif" w:hAnsi="PT Astra Serif"/>
            <w:b w:val="false"/>
            <w:strike w:val="false"/>
            <w:dstrike w:val="false"/>
            <w:color w:val="0000FF"/>
            <w:sz w:val="28"/>
          </w:rPr>
          <w:t>статьей 18</w:t>
        </w:r>
      </w:hyperlink>
      <w:r>
        <w:rPr>
          <w:rFonts w:ascii="PT Astra Serif" w:hAnsi="PT Astra Serif"/>
          <w:b w:val="false"/>
          <w:sz w:val="28"/>
        </w:rPr>
        <w:t xml:space="preserve"> Федерального закона от 11 июня 2003 года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48.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49. В случае отказа Министерства от заключения соглашения с победителем отбора по основаниям, предусмотренным </w:t>
      </w:r>
      <w:r>
        <w:rPr>
          <w:rFonts w:ascii="PT Astra Serif" w:hAnsi="PT Astra Serif"/>
          <w:b w:val="false"/>
          <w:strike w:val="false"/>
          <w:dstrike w:val="false"/>
          <w:color w:val="0000FF"/>
          <w:sz w:val="28"/>
        </w:rPr>
        <w:t>пунктом 48</w:t>
      </w:r>
      <w:r>
        <w:rPr>
          <w:rFonts w:ascii="PT Astra Serif" w:hAnsi="PT Astra Serif"/>
          <w:b w:val="false"/>
          <w:sz w:val="28"/>
        </w:rPr>
        <w:t xml:space="preserve"> настоящего Порядка, отказа победителя отбора от заключения соглашения, неподписания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51.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52.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53.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Основаниями для отказа получателю субсидии в предоставлении субсидии являются:</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установление факта недостоверности представленной получателем субсидии информации.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54.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Управления в пятидневный срок, исчисляемый в рабочих днях, со дня получения денежных средств на свой лицевой счет перечисляют денежные средства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687" w:left="-567" w:right="120"/>
        <w:jc w:val="center"/>
        <w:rPr>
          <w:rFonts w:ascii="PT Astra Serif" w:hAnsi="PT Astra Serif"/>
          <w:b/>
          <w:sz w:val="28"/>
        </w:rPr>
      </w:pPr>
      <w:r>
        <w:rPr>
          <w:rFonts w:ascii="PT Astra Serif" w:hAnsi="PT Astra Serif"/>
          <w:b/>
          <w:sz w:val="28"/>
        </w:rPr>
        <w:t>VIII. Порядок представления отчетности, осуществления</w:t>
      </w:r>
    </w:p>
    <w:p>
      <w:pPr>
        <w:pStyle w:val="Normal"/>
        <w:spacing w:before="120" w:after="120"/>
        <w:ind w:firstLine="687" w:left="-567" w:right="120"/>
        <w:jc w:val="center"/>
        <w:rPr>
          <w:rFonts w:ascii="PT Astra Serif" w:hAnsi="PT Astra Serif"/>
          <w:b/>
          <w:sz w:val="28"/>
        </w:rPr>
      </w:pPr>
      <w:r>
        <w:rPr>
          <w:rFonts w:ascii="PT Astra Serif" w:hAnsi="PT Astra Serif"/>
          <w:b/>
          <w:sz w:val="28"/>
        </w:rPr>
        <w:t>контроля (мониторинга) за соблюдением условий и порядка</w:t>
      </w:r>
    </w:p>
    <w:p>
      <w:pPr>
        <w:pStyle w:val="Normal"/>
        <w:spacing w:before="120" w:after="120"/>
        <w:ind w:firstLine="687" w:left="-567" w:right="120"/>
        <w:jc w:val="center"/>
        <w:rPr>
          <w:rFonts w:ascii="PT Astra Serif" w:hAnsi="PT Astra Serif"/>
          <w:b/>
          <w:sz w:val="28"/>
        </w:rPr>
      </w:pPr>
      <w:r>
        <w:rPr>
          <w:rFonts w:ascii="PT Astra Serif" w:hAnsi="PT Astra Serif"/>
          <w:b/>
          <w:sz w:val="28"/>
        </w:rPr>
        <w:t>предоставления субсидии и ответственности за их нарушение</w:t>
      </w:r>
    </w:p>
    <w:p>
      <w:pPr>
        <w:pStyle w:val="Normal"/>
        <w:spacing w:before="120" w:after="120"/>
        <w:ind w:firstLine="687" w:left="-567" w:right="120"/>
        <w:jc w:val="both"/>
        <w:rPr>
          <w:rFonts w:ascii="PT Astra Serif" w:hAnsi="PT Astra Serif"/>
          <w:b w:val="false"/>
          <w:sz w:val="28"/>
        </w:rPr>
      </w:pPr>
      <w:r>
        <w:rPr>
          <w:rFonts w:ascii="PT Astra Serif" w:hAnsi="PT Astra Serif"/>
          <w:b w:val="false"/>
          <w:sz w:val="28"/>
        </w:rPr>
        <w:t> </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55. Получатель субсидии представляет отчет о достижении значения результата предоставления субсидии в системе "Электронный бюджет" не позднее третьего рабочего дня со дня заключения соглашения по форме, предусмотренной типовой формой, установленной Министерством финансов Российской Федерации для соглашений.</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56. Министерство осуществляет проверку отчета о достижении значения результата предоставления субсидии в срок, не превышающий трех рабочих дней со дня представления указанного отчета.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Органы государственного финансового контроля осуществляют проверку в соответствии со </w:t>
      </w:r>
      <w:hyperlink r:id="rId12">
        <w:r>
          <w:rPr>
            <w:rStyle w:val="ListLabel2"/>
            <w:rFonts w:ascii="PT Astra Serif" w:hAnsi="PT Astra Serif"/>
            <w:b w:val="false"/>
            <w:strike w:val="false"/>
            <w:dstrike w:val="false"/>
            <w:color w:val="0000FF"/>
            <w:sz w:val="28"/>
          </w:rPr>
          <w:t>статьями 268.1</w:t>
        </w:r>
      </w:hyperlink>
      <w:r>
        <w:rPr>
          <w:rFonts w:ascii="PT Astra Serif" w:hAnsi="PT Astra Serif"/>
          <w:b w:val="false"/>
          <w:sz w:val="28"/>
        </w:rPr>
        <w:t xml:space="preserve"> и </w:t>
      </w:r>
      <w:hyperlink r:id="rId13">
        <w:r>
          <w:rPr>
            <w:rStyle w:val="ListLabel2"/>
            <w:rFonts w:ascii="PT Astra Serif" w:hAnsi="PT Astra Serif"/>
            <w:b w:val="false"/>
            <w:strike w:val="false"/>
            <w:dstrike w:val="false"/>
            <w:color w:val="0000FF"/>
            <w:sz w:val="28"/>
          </w:rPr>
          <w:t>269.2</w:t>
        </w:r>
      </w:hyperlink>
      <w:r>
        <w:rPr>
          <w:rFonts w:ascii="PT Astra Serif" w:hAnsi="PT Astra Serif"/>
          <w:b w:val="false"/>
          <w:sz w:val="28"/>
        </w:rPr>
        <w:t xml:space="preserve"> Бюджетного кодекса Российской Федерации.</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58.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результата предоставления субсидии предоставленная субсидия подлежит возврату в доход бюджета Республики Татарстан в полном объеме в 30-дневный срок, исчисляемый в календарных днях, со дня получения соответствующего уведомления Министерства.</w:t>
      </w:r>
    </w:p>
    <w:p>
      <w:pPr>
        <w:pStyle w:val="Normal"/>
        <w:spacing w:before="120" w:after="120"/>
        <w:ind w:firstLine="1107" w:left="-567" w:right="120"/>
        <w:jc w:val="both"/>
        <w:rPr>
          <w:rFonts w:ascii="PT Astra Serif" w:hAnsi="PT Astra Serif"/>
          <w:b w:val="false"/>
          <w:sz w:val="28"/>
        </w:rPr>
      </w:pPr>
      <w:r>
        <w:rPr>
          <w:rFonts w:ascii="PT Astra Serif" w:hAnsi="PT Astra Serif"/>
          <w:b w:val="false"/>
          <w:sz w:val="28"/>
        </w:rPr>
        <w:t xml:space="preserve">59. В случае отказа от добровольного возврата в доход бюджета Республики Татарстан средств, указанных в </w:t>
      </w:r>
      <w:r>
        <w:rPr>
          <w:rFonts w:ascii="PT Astra Serif" w:hAnsi="PT Astra Serif"/>
          <w:b w:val="false"/>
          <w:strike w:val="false"/>
          <w:dstrike w:val="false"/>
          <w:color w:val="0000FF"/>
          <w:sz w:val="28"/>
        </w:rPr>
        <w:t>пункте 58</w:t>
      </w:r>
      <w:r>
        <w:rPr>
          <w:rFonts w:ascii="PT Astra Serif" w:hAnsi="PT Astra Serif"/>
          <w:b w:val="false"/>
          <w:sz w:val="28"/>
        </w:rPr>
        <w:t xml:space="preserve">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pStyle w:val="Normal"/>
        <w:spacing w:before="0" w:after="160"/>
        <w:ind w:firstLine="567" w:left="-567" w:right="0"/>
        <w:jc w:val="left"/>
        <w:rPr>
          <w:rFonts w:ascii="PT Astra Serif" w:hAnsi="PT Astra Serif"/>
          <w:sz w:val="28"/>
        </w:rPr>
      </w:pPr>
      <w:r>
        <w:rPr>
          <w:rFonts w:ascii="PT Astra Serif" w:hAnsi="PT Astra Serif"/>
          <w:sz w:val="28"/>
        </w:rPr>
      </w:r>
    </w:p>
    <w:sectPr>
      <w:type w:val="nextPage"/>
      <w:pgSz w:w="11906" w:h="16838"/>
      <w:pgMar w:left="1701" w:right="850" w:gutter="0" w:header="0" w:top="1135" w:footer="0" w:bottom="1135"/>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XO Thames">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95"/>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64" w:before="0" w:after="16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bidi w:val="0"/>
      <w:spacing w:lineRule="auto" w:line="264" w:before="120" w:after="120"/>
      <w:ind w:hanging="0" w:left="0" w:right="0"/>
      <w:jc w:val="both"/>
      <w:outlineLvl w:val="0"/>
    </w:pPr>
    <w:rPr>
      <w:rFonts w:ascii="XO Thames" w:hAnsi="XO Thames" w:eastAsia="Tahoma" w:cs="Noto Sans Devanagari"/>
      <w:b/>
      <w:color w:val="000000"/>
      <w:spacing w:val="0"/>
      <w:kern w:val="0"/>
      <w:sz w:val="32"/>
      <w:szCs w:val="20"/>
      <w:lang w:val="ru-RU" w:eastAsia="zh-CN" w:bidi="hi-IN"/>
    </w:rPr>
  </w:style>
  <w:style w:type="paragraph" w:styleId="Heading2">
    <w:name w:val="Heading 2"/>
    <w:next w:val="Normal"/>
    <w:uiPriority w:val="9"/>
    <w:qFormat/>
    <w:pPr>
      <w:widowControl/>
      <w:bidi w:val="0"/>
      <w:spacing w:lineRule="auto" w:line="264" w:before="120" w:after="120"/>
      <w:ind w:hanging="0" w:left="0" w:right="0"/>
      <w:jc w:val="both"/>
      <w:outlineLvl w:val="1"/>
    </w:pPr>
    <w:rPr>
      <w:rFonts w:ascii="XO Thames" w:hAnsi="XO Thames" w:eastAsia="Tahoma" w:cs="Noto Sans Devanagari"/>
      <w:b/>
      <w:color w:val="000000"/>
      <w:spacing w:val="0"/>
      <w:kern w:val="0"/>
      <w:sz w:val="28"/>
      <w:szCs w:val="20"/>
      <w:lang w:val="ru-RU" w:eastAsia="zh-CN" w:bidi="hi-IN"/>
    </w:rPr>
  </w:style>
  <w:style w:type="paragraph" w:styleId="Heading3">
    <w:name w:val="Heading 3"/>
    <w:next w:val="Normal"/>
    <w:uiPriority w:val="9"/>
    <w:qFormat/>
    <w:pPr>
      <w:widowControl/>
      <w:bidi w:val="0"/>
      <w:spacing w:lineRule="auto" w:line="264" w:before="120" w:after="120"/>
      <w:ind w:hanging="0" w:left="0" w:right="0"/>
      <w:jc w:val="both"/>
      <w:outlineLvl w:val="2"/>
    </w:pPr>
    <w:rPr>
      <w:rFonts w:ascii="XO Thames" w:hAnsi="XO Thames" w:eastAsia="Tahoma" w:cs="Noto Sans Devanagari"/>
      <w:b/>
      <w:color w:val="000000"/>
      <w:spacing w:val="0"/>
      <w:kern w:val="0"/>
      <w:sz w:val="26"/>
      <w:szCs w:val="20"/>
      <w:lang w:val="ru-RU" w:eastAsia="zh-CN" w:bidi="hi-IN"/>
    </w:rPr>
  </w:style>
  <w:style w:type="paragraph" w:styleId="Heading4">
    <w:name w:val="Heading 4"/>
    <w:next w:val="Normal"/>
    <w:uiPriority w:val="9"/>
    <w:qFormat/>
    <w:pPr>
      <w:widowControl/>
      <w:bidi w:val="0"/>
      <w:spacing w:lineRule="auto" w:line="264" w:before="120" w:after="120"/>
      <w:ind w:hanging="0" w:left="0" w:right="0"/>
      <w:jc w:val="both"/>
      <w:outlineLvl w:val="3"/>
    </w:pPr>
    <w:rPr>
      <w:rFonts w:ascii="XO Thames" w:hAnsi="XO Thames" w:eastAsia="Tahoma" w:cs="Noto Sans Devanagari"/>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64" w:before="120" w:after="120"/>
      <w:ind w:hanging="0" w:left="0" w:right="0"/>
      <w:jc w:val="both"/>
      <w:outlineLvl w:val="4"/>
    </w:pPr>
    <w:rPr>
      <w:rFonts w:ascii="XO Thames" w:hAnsi="XO Thames" w:eastAsia="Tahoma" w:cs="Noto Sans Devanagari"/>
      <w:b/>
      <w:color w:val="000000"/>
      <w:spacing w:val="0"/>
      <w:kern w:val="0"/>
      <w:sz w:val="22"/>
      <w:szCs w:val="20"/>
      <w:lang w:val="ru-RU" w:eastAsia="zh-CN" w:bidi="hi-IN"/>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ListParagraph">
    <w:name w:val="List Paragraph"/>
    <w:link w:val="ListParagraph1"/>
    <w:qFormat/>
    <w:rPr/>
  </w:style>
  <w:style w:type="character" w:styleId="DefaultParagraphFont">
    <w:name w:val="Default Paragraph Font"/>
    <w:link w:val="DefaultParagraphFont1"/>
    <w:qFormat/>
    <w:rPr/>
  </w:style>
  <w:style w:type="character" w:styleId="Contents3">
    <w:name w:val="Contents 3"/>
    <w:qFormat/>
    <w:rPr>
      <w:rFonts w:ascii="XO Thames" w:hAnsi="XO Thames"/>
      <w:sz w:val="28"/>
    </w:rPr>
  </w:style>
  <w:style w:type="character" w:styleId="NormalWeb">
    <w:name w:val="Normal (Web)"/>
    <w:link w:val="NormalWeb1"/>
    <w:qFormat/>
    <w:rPr>
      <w:rFonts w:ascii="Times New Roman" w:hAnsi="Times New Roman"/>
      <w:sz w:val="24"/>
    </w:rPr>
  </w:style>
  <w:style w:type="character" w:styleId="BalloonText">
    <w:name w:val="Balloon Text"/>
    <w:link w:val="BalloonText1"/>
    <w:qFormat/>
    <w:rPr>
      <w:rFonts w:ascii="Segoe UI" w:hAnsi="Segoe UI"/>
      <w:sz w:val="1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Hyperlink">
    <w:name w:val="Hyperlink"/>
    <w:basedOn w:val="DefaultParagraphFont"/>
    <w:rPr>
      <w:color w:val="1155CC"/>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0"/>
    </w:rPr>
  </w:style>
  <w:style w:type="character" w:styleId="Contents9">
    <w:name w:val="Contents 9"/>
    <w:qFormat/>
    <w:rPr>
      <w:rFonts w:ascii="XO Thames" w:hAnsi="XO Thames"/>
      <w:sz w:val="28"/>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paragraph" w:styleId="Style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0">
    <w:name w:val="Указатель"/>
    <w:basedOn w:val="Normal"/>
    <w:qFormat/>
    <w:pPr>
      <w:suppressLineNumbers/>
    </w:pPr>
    <w:rPr>
      <w:rFonts w:ascii="PT Astra Serif" w:hAnsi="PT Astra Serif" w:cs="Noto Sans Devanagari"/>
    </w:rPr>
  </w:style>
  <w:style w:type="paragraph" w:styleId="TOC2">
    <w:name w:val="TOC 2"/>
    <w:next w:val="Normal"/>
    <w:uiPriority w:val="39"/>
    <w:pPr>
      <w:widowControl/>
      <w:bidi w:val="0"/>
      <w:spacing w:lineRule="auto" w:line="264" w:before="0" w:after="16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TOC4">
    <w:name w:val="TOC 4"/>
    <w:next w:val="Normal"/>
    <w:uiPriority w:val="39"/>
    <w:pPr>
      <w:widowControl/>
      <w:bidi w:val="0"/>
      <w:spacing w:lineRule="auto" w:line="264" w:before="0" w:after="16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TOC6">
    <w:name w:val="TOC 6"/>
    <w:next w:val="Normal"/>
    <w:uiPriority w:val="39"/>
    <w:pPr>
      <w:widowControl/>
      <w:bidi w:val="0"/>
      <w:spacing w:lineRule="auto" w:line="264" w:before="0" w:after="16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TOC7">
    <w:name w:val="TOC 7"/>
    <w:next w:val="Normal"/>
    <w:uiPriority w:val="39"/>
    <w:pPr>
      <w:widowControl/>
      <w:bidi w:val="0"/>
      <w:spacing w:lineRule="auto" w:line="264" w:before="0" w:after="16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bidi w:val="0"/>
      <w:spacing w:lineRule="auto" w:line="264" w:before="0" w:after="16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ListParagraph1">
    <w:name w:val="List Paragraph1"/>
    <w:basedOn w:val="Normal"/>
    <w:link w:val="ListParagraph"/>
    <w:qFormat/>
    <w:pPr>
      <w:spacing w:before="0" w:after="160"/>
      <w:ind w:hanging="0" w:left="720"/>
      <w:contextualSpacing/>
    </w:pPr>
    <w:rPr/>
  </w:style>
  <w:style w:type="paragraph" w:styleId="DefaultParagraphFont1">
    <w:name w:val="Default Paragraph Font1"/>
    <w:link w:val="DefaultParagraphFont"/>
    <w:qFormat/>
    <w:pPr>
      <w:widowControl/>
      <w:bidi w:val="0"/>
      <w:spacing w:lineRule="auto" w:line="264" w:before="0" w:after="160"/>
      <w:ind w:hanging="0" w:left="0" w:right="0"/>
      <w:jc w:val="left"/>
    </w:pPr>
    <w:rPr>
      <w:rFonts w:ascii="Calibri" w:hAnsi="Calibri" w:eastAsia="Tahoma" w:cs="Noto Sans Devanagari" w:asciiTheme="minorAscii" w:hAnsiTheme="minorHAnsi"/>
      <w:color w:val="000000"/>
      <w:spacing w:val="0"/>
      <w:kern w:val="0"/>
      <w:sz w:val="22"/>
      <w:szCs w:val="20"/>
      <w:lang w:val="ru-RU" w:eastAsia="zh-CN" w:bidi="hi-IN"/>
    </w:rPr>
  </w:style>
  <w:style w:type="paragraph" w:styleId="TOC3">
    <w:name w:val="TOC 3"/>
    <w:next w:val="Normal"/>
    <w:uiPriority w:val="39"/>
    <w:pPr>
      <w:widowControl/>
      <w:bidi w:val="0"/>
      <w:spacing w:lineRule="auto" w:line="264" w:before="0" w:after="16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NormalWeb1">
    <w:name w:val="Normal (Web)1"/>
    <w:basedOn w:val="Normal"/>
    <w:link w:val="NormalWeb"/>
    <w:qFormat/>
    <w:pPr>
      <w:spacing w:lineRule="auto" w:line="240" w:beforeAutospacing="1" w:afterAutospacing="1"/>
    </w:pPr>
    <w:rPr>
      <w:rFonts w:ascii="Times New Roman" w:hAnsi="Times New Roman"/>
      <w:sz w:val="24"/>
    </w:rPr>
  </w:style>
  <w:style w:type="paragraph" w:styleId="BalloonText1">
    <w:name w:val="Balloon Text1"/>
    <w:basedOn w:val="Normal"/>
    <w:link w:val="BalloonText"/>
    <w:qFormat/>
    <w:pPr>
      <w:spacing w:lineRule="auto" w:line="240" w:before="0" w:after="0"/>
    </w:pPr>
    <w:rPr>
      <w:rFonts w:ascii="Segoe UI" w:hAnsi="Segoe UI"/>
      <w:sz w:val="18"/>
    </w:rPr>
  </w:style>
  <w:style w:type="paragraph" w:styleId="Internetlink">
    <w:name w:val="Internet link"/>
    <w:basedOn w:val="DefaultParagraphFont1"/>
    <w:qFormat/>
    <w:pPr/>
    <w:rPr>
      <w:color w:val="1155CC"/>
      <w:u w:val="single"/>
    </w:rPr>
  </w:style>
  <w:style w:type="paragraph" w:styleId="Footnote1">
    <w:name w:val="Footnote1"/>
    <w:link w:val="Footnote"/>
    <w:qFormat/>
    <w:pPr>
      <w:widowControl/>
      <w:bidi w:val="0"/>
      <w:spacing w:lineRule="auto" w:line="264" w:before="0" w:after="16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TOC1">
    <w:name w:val="TOC 1"/>
    <w:next w:val="Normal"/>
    <w:uiPriority w:val="39"/>
    <w:pPr>
      <w:widowControl/>
      <w:bidi w:val="0"/>
      <w:spacing w:lineRule="auto" w:line="264" w:before="0" w:after="16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tyle11">
    <w:name w:val="Колонтитул"/>
    <w:qFormat/>
    <w:pPr>
      <w:widowControl/>
      <w:bidi w:val="0"/>
      <w:spacing w:lineRule="auto" w:line="240" w:before="0" w:after="160"/>
      <w:ind w:hanging="0" w:left="0" w:right="0"/>
      <w:jc w:val="both"/>
    </w:pPr>
    <w:rPr>
      <w:rFonts w:ascii="XO Thames" w:hAnsi="XO Thames" w:eastAsia="Tahoma" w:cs="Noto Sans Devanagari"/>
      <w:color w:val="000000"/>
      <w:spacing w:val="0"/>
      <w:kern w:val="0"/>
      <w:sz w:val="20"/>
      <w:szCs w:val="20"/>
      <w:lang w:val="ru-RU" w:eastAsia="zh-CN" w:bidi="hi-IN"/>
    </w:rPr>
  </w:style>
  <w:style w:type="paragraph" w:styleId="TOC9">
    <w:name w:val="TOC 9"/>
    <w:next w:val="Normal"/>
    <w:uiPriority w:val="39"/>
    <w:pPr>
      <w:widowControl/>
      <w:bidi w:val="0"/>
      <w:spacing w:lineRule="auto" w:line="264" w:before="0" w:after="16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TOC8">
    <w:name w:val="TOC 8"/>
    <w:next w:val="Normal"/>
    <w:uiPriority w:val="39"/>
    <w:pPr>
      <w:widowControl/>
      <w:bidi w:val="0"/>
      <w:spacing w:lineRule="auto" w:line="264" w:before="0" w:after="16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TOC5">
    <w:name w:val="TOC 5"/>
    <w:next w:val="Normal"/>
    <w:uiPriority w:val="39"/>
    <w:pPr>
      <w:widowControl/>
      <w:bidi w:val="0"/>
      <w:spacing w:lineRule="auto" w:line="264" w:before="0" w:after="16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Subtitle">
    <w:name w:val="Subtitle"/>
    <w:next w:val="Normal"/>
    <w:uiPriority w:val="11"/>
    <w:qFormat/>
    <w:pPr>
      <w:widowControl/>
      <w:bidi w:val="0"/>
      <w:spacing w:lineRule="auto" w:line="264" w:before="0" w:after="160"/>
      <w:ind w:hanging="0" w:left="0" w:right="0"/>
      <w:jc w:val="both"/>
    </w:pPr>
    <w:rPr>
      <w:rFonts w:ascii="XO Thames" w:hAnsi="XO Thames" w:eastAsia="Tahoma" w:cs="Noto Sans Devanagari"/>
      <w:i/>
      <w:color w:val="000000"/>
      <w:spacing w:val="0"/>
      <w:kern w:val="0"/>
      <w:sz w:val="24"/>
      <w:szCs w:val="20"/>
      <w:lang w:val="ru-RU" w:eastAsia="zh-CN" w:bidi="hi-IN"/>
    </w:rPr>
  </w:style>
  <w:style w:type="paragraph" w:styleId="Title">
    <w:name w:val="Title"/>
    <w:next w:val="Normal"/>
    <w:uiPriority w:val="10"/>
    <w:qFormat/>
    <w:pPr>
      <w:widowControl/>
      <w:bidi w:val="0"/>
      <w:spacing w:lineRule="auto" w:line="264" w:before="567" w:after="567"/>
      <w:ind w:hanging="0" w:left="0" w:right="0"/>
      <w:jc w:val="center"/>
    </w:pPr>
    <w:rPr>
      <w:rFonts w:ascii="XO Thames" w:hAnsi="XO Thames" w:eastAsia="Tahoma" w:cs="Noto Sans Devanagari"/>
      <w:b/>
      <w:caps/>
      <w:color w:val="000000"/>
      <w:spacing w:val="0"/>
      <w:kern w:val="0"/>
      <w:sz w:val="40"/>
      <w:szCs w:val="20"/>
      <w:lang w:val="ru-RU" w:eastAsia="zh-CN" w:bidi="hi-IN"/>
    </w:rPr>
  </w:style>
  <w:style w:type="table" w:default="1" w:styleId="Style_26">
    <w:name w:val="Normal Table"/>
    <w:tblPr>
      <w:tblCellMar>
        <w:top w:w="0" w:type="dxa"/>
        <w:left w:w="108" w:type="dxa"/>
        <w:bottom w:w="0" w:type="dxa"/>
        <w:right w:w="108" w:type="dxa"/>
      </w:tblCellMar>
    </w:tblPr>
  </w:style>
  <w:style w:type="table" w:styleId="Style_27">
    <w:name w:val="Table Grid"/>
    <w:basedOn w:val="Style_2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onsultant.mship.local:8080/?req=doc&amp;base=RLAW363&amp;n=182954&amp;dst=100023&amp;field=134&amp;date=03.06.2024" TargetMode="External"/><Relationship Id="rId3" Type="http://schemas.openxmlformats.org/officeDocument/2006/relationships/hyperlink" Target="http://consultant.mship.local:8080/?req=doc&amp;base=RLAW363&amp;n=181853&amp;dst=199754&amp;field=134&amp;date=03.06.2024" TargetMode="External"/><Relationship Id="rId4" Type="http://schemas.openxmlformats.org/officeDocument/2006/relationships/hyperlink" Target="http://consultant.mship.local:8080/?req=doc&amp;base=LAW&amp;n=121087&amp;dst=100142&amp;field=134&amp;date=03.06.2024" TargetMode="External"/><Relationship Id="rId5" Type="http://schemas.openxmlformats.org/officeDocument/2006/relationships/hyperlink" Target="http://consultant.mship.local:8080/?req=doc&amp;base=LAW&amp;n=476448&amp;date=03.06.2024" TargetMode="External"/><Relationship Id="rId6" Type="http://schemas.openxmlformats.org/officeDocument/2006/relationships/hyperlink" Target="http://consultant.mship.local:8080/?req=doc&amp;base=LAW&amp;n=472841&amp;dst=5769&amp;field=134&amp;date=03.06.2024" TargetMode="External"/><Relationship Id="rId7" Type="http://schemas.openxmlformats.org/officeDocument/2006/relationships/hyperlink" Target="https://agro.tatarstan.ru/" TargetMode="External"/><Relationship Id="rId8" Type="http://schemas.openxmlformats.org/officeDocument/2006/relationships/hyperlink" Target="http://consultant.mship.local:8080/?req=doc&amp;base=LAW&amp;n=471848&amp;dst=101922&amp;field=134&amp;date=03.06.2024" TargetMode="External"/><Relationship Id="rId9" Type="http://schemas.openxmlformats.org/officeDocument/2006/relationships/hyperlink" Target="http://consultant.mship.local:8080/?req=doc&amp;base=LAW&amp;n=471848&amp;dst=217&amp;field=134&amp;date=03.06.2024" TargetMode="External"/><Relationship Id="rId10" Type="http://schemas.openxmlformats.org/officeDocument/2006/relationships/hyperlink" Target="http://consultant.mship.local:8080/?req=doc&amp;base=LAW&amp;n=471848&amp;dst=217&amp;field=134&amp;date=03.06.2024" TargetMode="External"/><Relationship Id="rId11" Type="http://schemas.openxmlformats.org/officeDocument/2006/relationships/hyperlink" Target="http://consultant.mship.local:8080/?req=doc&amp;base=LAW&amp;n=394431&amp;dst=100104&amp;field=134&amp;date=03.06.2024" TargetMode="External"/><Relationship Id="rId12" Type="http://schemas.openxmlformats.org/officeDocument/2006/relationships/hyperlink" Target="http://consultant.mship.local:8080/?req=doc&amp;base=LAW&amp;n=470713&amp;dst=3704&amp;field=134&amp;date=03.06.2024" TargetMode="External"/><Relationship Id="rId13" Type="http://schemas.openxmlformats.org/officeDocument/2006/relationships/hyperlink" Target="http://consultant.mship.local:8080/?req=doc&amp;base=LAW&amp;n=470713&amp;dst=3722&amp;field=134&amp;date=03.06.2024"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17</Pages>
  <Words>4160</Words>
  <Characters>30654</Characters>
  <CharactersWithSpaces>34667</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2024-06-03T12:26:11Z</dcterms:modified>
  <cp:revision>0</cp:revision>
  <dc:subject/>
  <dc:title/>
</cp:coreProperties>
</file>